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15B64">
      <w:pPr>
        <w:spacing w:before="100" w:beforeAutospacing="1" w:after="100" w:afterAutospacing="1" w:line="240" w:lineRule="auto"/>
        <w:jc w:val="center"/>
        <w:outlineLvl w:val="0"/>
        <w:rPr>
          <w:rFonts w:ascii="Times New Roman" w:hAnsi="Times New Roman" w:eastAsia="Times New Roman" w:cs="Times New Roman"/>
          <w:b/>
          <w:bCs/>
          <w:kern w:val="36"/>
          <w:sz w:val="40"/>
          <w:szCs w:val="40"/>
        </w:rPr>
      </w:pPr>
      <w:r>
        <w:rPr>
          <w:rFonts w:ascii="Times New Roman" w:hAnsi="Times New Roman" w:eastAsia="Times New Roman" w:cs="Times New Roman"/>
          <w:b/>
          <w:bCs/>
          <w:kern w:val="36"/>
          <w:sz w:val="40"/>
          <w:szCs w:val="40"/>
        </w:rPr>
        <w:t>Navigating Diversity Management, Memory Politics, and EU Integration in the Western Balkans</w:t>
      </w:r>
    </w:p>
    <w:p w14:paraId="1C4BDB6E">
      <w:pPr>
        <w:spacing w:before="100" w:beforeAutospacing="1" w:after="100" w:afterAutospacing="1" w:line="240" w:lineRule="auto"/>
        <w:jc w:val="center"/>
        <w:outlineLvl w:val="0"/>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Policy Paper</w:t>
      </w:r>
    </w:p>
    <w:p w14:paraId="252DC51B">
      <w:pPr>
        <w:spacing w:before="100" w:beforeAutospacing="1" w:after="100" w:afterAutospacing="1" w:line="240" w:lineRule="auto"/>
        <w:jc w:val="center"/>
        <w:rPr>
          <w:rFonts w:ascii="Times New Roman" w:hAnsi="Times New Roman" w:eastAsia="Times New Roman" w:cs="Times New Roman"/>
          <w:i/>
          <w:sz w:val="24"/>
          <w:szCs w:val="24"/>
        </w:rPr>
      </w:pPr>
      <w:r>
        <w:rPr>
          <w:rFonts w:hint="default" w:ascii="Times New Roman" w:hAnsi="Times New Roman" w:eastAsia="Times New Roman" w:cs="Times New Roman"/>
          <w:b/>
          <w:bCs/>
          <w:i/>
          <w:sz w:val="24"/>
          <w:szCs w:val="24"/>
          <w:lang w:val="en-GB"/>
        </w:rPr>
        <w:t>Author</w:t>
      </w:r>
      <w:r>
        <w:rPr>
          <w:rFonts w:hint="default" w:ascii="Times New Roman" w:hAnsi="Times New Roman" w:eastAsia="Times New Roman" w:cs="Times New Roman"/>
          <w:i/>
          <w:sz w:val="24"/>
          <w:szCs w:val="24"/>
          <w:lang w:val="en-GB"/>
        </w:rPr>
        <w:t xml:space="preserve">: </w:t>
      </w:r>
      <w:r>
        <w:rPr>
          <w:rFonts w:ascii="Times New Roman" w:hAnsi="Times New Roman" w:eastAsia="Times New Roman" w:cs="Times New Roman"/>
          <w:i/>
          <w:sz w:val="24"/>
          <w:szCs w:val="24"/>
        </w:rPr>
        <w:t xml:space="preserve">Rubin Zemon PhD, iASK </w:t>
      </w:r>
      <w:r>
        <w:rPr>
          <w:rFonts w:hint="default" w:ascii="Times New Roman" w:hAnsi="Times New Roman" w:eastAsia="Times New Roman" w:cs="Times New Roman"/>
          <w:i/>
          <w:sz w:val="24"/>
          <w:szCs w:val="24"/>
          <w:lang w:val="en-GB"/>
        </w:rPr>
        <w:t>Researcb</w:t>
      </w:r>
      <w:r>
        <w:rPr>
          <w:rFonts w:ascii="Times New Roman" w:hAnsi="Times New Roman" w:eastAsia="Times New Roman" w:cs="Times New Roman"/>
          <w:i/>
          <w:sz w:val="24"/>
          <w:szCs w:val="24"/>
        </w:rPr>
        <w:t xml:space="preserve"> Fellow, July 2025</w:t>
      </w:r>
    </w:p>
    <w:p w14:paraId="67EF74D9">
      <w:pPr>
        <w:spacing w:before="100" w:beforeAutospacing="1" w:after="100" w:afterAutospacing="1" w:line="240" w:lineRule="auto"/>
        <w:jc w:val="center"/>
        <w:rPr>
          <w:rFonts w:ascii="Times New Roman" w:hAnsi="Times New Roman" w:eastAsia="Times New Roman" w:cs="Times New Roman"/>
          <w:i/>
          <w:sz w:val="24"/>
          <w:szCs w:val="24"/>
        </w:rPr>
      </w:pPr>
    </w:p>
    <w:p w14:paraId="68629314">
      <w:pPr>
        <w:spacing w:before="100" w:beforeAutospacing="1" w:after="100" w:afterAutospacing="1" w:line="240" w:lineRule="auto"/>
        <w:outlineLvl w:val="1"/>
        <w:rPr>
          <w:rFonts w:ascii="Times New Roman" w:hAnsi="Times New Roman" w:eastAsia="Times New Roman" w:cs="Times New Roman"/>
          <w:b/>
          <w:bCs/>
          <w:sz w:val="36"/>
          <w:szCs w:val="36"/>
          <w:u w:val="single"/>
        </w:rPr>
      </w:pPr>
      <w:r>
        <w:rPr>
          <w:rFonts w:ascii="Times New Roman" w:hAnsi="Times New Roman" w:eastAsia="Times New Roman" w:cs="Times New Roman"/>
          <w:b/>
          <w:bCs/>
          <w:sz w:val="36"/>
          <w:szCs w:val="36"/>
          <w:u w:val="single"/>
        </w:rPr>
        <w:t>Executive Summary</w:t>
      </w:r>
    </w:p>
    <w:p w14:paraId="28B155D6">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Western Balkans —Bosnia and Herzegovina, Serbia, Montenegro, Kosovo, North Macedonia, and Albania —remain Europe’s most ethnically, linguistically, and culturally diverse spaces. Three decades after the Yugoslav wars, unresolved historical grievances, politicised memory, and uneven minority protection continue to destabilise democratic consolidation and EU accession trajectories. Yet the EU’s renewed 2023–27 Enlargement Agenda, the 2024 Growth Plan (€6 billion Reform &amp; Growth Facility), and visa liberalisation for Kosovo offer unprecedented leverage for transformative reform. This policy paper argues that inclusive memory politics and robust diversity governance are pre</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conditions—not by</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products—of sustainable peace, social cohesion, and credible EU integration. It proposes a seven</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pillar strategy that links EU conditionality, national reforms, and local initiatives through measurable benchmarks and timetables (2025–2030).</w:t>
      </w:r>
    </w:p>
    <w:p w14:paraId="3636B7FA">
      <w:pPr>
        <w:spacing w:before="100" w:beforeAutospacing="1" w:after="100" w:afterAutospacing="1" w:line="240" w:lineRule="auto"/>
        <w:jc w:val="both"/>
        <w:outlineLvl w:val="1"/>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1 Context and Problem Statement</w:t>
      </w:r>
    </w:p>
    <w:p w14:paraId="6C3CC55D">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Triumph of the Nation</w:t>
      </w:r>
      <w:r>
        <w:rPr>
          <w:rFonts w:ascii="Times New Roman" w:hAnsi="Times New Roman" w:eastAsia="Times New Roman" w:cs="Times New Roman"/>
          <w:b/>
          <w:bCs/>
          <w:sz w:val="24"/>
          <w:szCs w:val="24"/>
        </w:rPr>
        <w:noBreakHyphen/>
      </w:r>
      <w:r>
        <w:rPr>
          <w:rFonts w:ascii="Times New Roman" w:hAnsi="Times New Roman" w:eastAsia="Times New Roman" w:cs="Times New Roman"/>
          <w:b/>
          <w:bCs/>
          <w:sz w:val="24"/>
          <w:szCs w:val="24"/>
        </w:rPr>
        <w:t>State Paradigm</w:t>
      </w:r>
      <w:r>
        <w:rPr>
          <w:rFonts w:ascii="Times New Roman" w:hAnsi="Times New Roman" w:eastAsia="Times New Roman" w:cs="Times New Roman"/>
          <w:sz w:val="24"/>
          <w:szCs w:val="24"/>
        </w:rPr>
        <w:t>: Post</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1990 statehood consolidation has favoured majority nation</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building over pluralist citizenship, often at the expense of Roma, Balkan Egyptians, Bosniaks, Vlahs (Aromanians), Torbesh and other minority communities.</w:t>
      </w:r>
    </w:p>
    <w:p w14:paraId="726C6EED">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Persistent Diversity Mismanagement</w:t>
      </w:r>
      <w:r>
        <w:rPr>
          <w:rFonts w:ascii="Times New Roman" w:hAnsi="Times New Roman" w:eastAsia="Times New Roman" w:cs="Times New Roman"/>
          <w:sz w:val="24"/>
          <w:szCs w:val="24"/>
        </w:rPr>
        <w:t>: Legal frameworks exist (FCNM, ECRML, constitutional guarantees) but implementation is asymmetric, under</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funded, and vulnerable to nationalist vetoes.</w:t>
      </w:r>
    </w:p>
    <w:p w14:paraId="44E87AE6">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Politicised Memory</w:t>
      </w:r>
      <w:r>
        <w:rPr>
          <w:rFonts w:ascii="Times New Roman" w:hAnsi="Times New Roman" w:eastAsia="Times New Roman" w:cs="Times New Roman"/>
          <w:sz w:val="24"/>
          <w:szCs w:val="24"/>
        </w:rPr>
        <w:t>: Competing victimhood narratives fuel denialism and obstruct reconciliation; bilateral disputes (e.g., Bulgaria–North Macedonia) spill into EU accession negotiations.</w:t>
      </w:r>
    </w:p>
    <w:p w14:paraId="25BFACB0">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EU Leverage and Fatigue</w:t>
      </w:r>
      <w:r>
        <w:rPr>
          <w:rFonts w:ascii="Times New Roman" w:hAnsi="Times New Roman" w:eastAsia="Times New Roman" w:cs="Times New Roman"/>
          <w:sz w:val="24"/>
          <w:szCs w:val="24"/>
        </w:rPr>
        <w:t>: Enlargement tools (Chapters 23/24, Growth Plan) incentivise reform, yet politicisation and inconsistent conditionality erode credibility.</w:t>
      </w:r>
    </w:p>
    <w:p w14:paraId="45509B54">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4063B29E">
      <w:pPr>
        <w:spacing w:before="100" w:beforeAutospacing="1" w:after="100" w:afterAutospacing="1" w:line="240" w:lineRule="auto"/>
        <w:jc w:val="both"/>
        <w:outlineLvl w:val="1"/>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2 Status of EU Integration (July 2025)</w:t>
      </w:r>
    </w:p>
    <w:tbl>
      <w:tblPr>
        <w:tblStyle w:val="5"/>
        <w:tblW w:w="0" w:type="auto"/>
        <w:tblCellSpacing w:w="15" w:type="dxa"/>
        <w:tblInd w:w="0" w:type="dxa"/>
        <w:tblLayout w:type="autofit"/>
        <w:tblCellMar>
          <w:top w:w="15" w:type="dxa"/>
          <w:left w:w="15" w:type="dxa"/>
          <w:bottom w:w="15" w:type="dxa"/>
          <w:right w:w="15" w:type="dxa"/>
        </w:tblCellMar>
      </w:tblPr>
      <w:tblGrid>
        <w:gridCol w:w="2545"/>
        <w:gridCol w:w="2914"/>
        <w:gridCol w:w="3991"/>
      </w:tblGrid>
      <w:tr w14:paraId="0DD22044">
        <w:tblPrEx>
          <w:tblCellMar>
            <w:top w:w="15" w:type="dxa"/>
            <w:left w:w="15" w:type="dxa"/>
            <w:bottom w:w="15" w:type="dxa"/>
            <w:right w:w="15" w:type="dxa"/>
          </w:tblCellMar>
        </w:tblPrEx>
        <w:trPr>
          <w:tblCellSpacing w:w="15" w:type="dxa"/>
        </w:trPr>
        <w:tc>
          <w:tcPr>
            <w:tcW w:w="0" w:type="auto"/>
            <w:vAlign w:val="center"/>
          </w:tcPr>
          <w:p w14:paraId="4BC82DB7">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Country</w:t>
            </w:r>
          </w:p>
        </w:tc>
        <w:tc>
          <w:tcPr>
            <w:tcW w:w="0" w:type="auto"/>
            <w:vAlign w:val="center"/>
          </w:tcPr>
          <w:p w14:paraId="598EA8E9">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Negotiating Chapters</w:t>
            </w:r>
          </w:p>
        </w:tc>
        <w:tc>
          <w:tcPr>
            <w:tcW w:w="0" w:type="auto"/>
            <w:vAlign w:val="center"/>
          </w:tcPr>
          <w:p w14:paraId="50F2CDE8">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Key Milestones (2024</w:t>
            </w:r>
            <w:r>
              <w:rPr>
                <w:rFonts w:ascii="Times New Roman" w:hAnsi="Times New Roman" w:eastAsia="Times New Roman" w:cs="Times New Roman"/>
                <w:b/>
                <w:bCs/>
                <w:sz w:val="24"/>
                <w:szCs w:val="24"/>
              </w:rPr>
              <w:noBreakHyphen/>
            </w:r>
            <w:r>
              <w:rPr>
                <w:rFonts w:ascii="Times New Roman" w:hAnsi="Times New Roman" w:eastAsia="Times New Roman" w:cs="Times New Roman"/>
                <w:b/>
                <w:bCs/>
                <w:sz w:val="24"/>
                <w:szCs w:val="24"/>
              </w:rPr>
              <w:t>25)</w:t>
            </w:r>
          </w:p>
        </w:tc>
      </w:tr>
      <w:tr w14:paraId="742D4B05">
        <w:tblPrEx>
          <w:tblCellMar>
            <w:top w:w="15" w:type="dxa"/>
            <w:left w:w="15" w:type="dxa"/>
            <w:bottom w:w="15" w:type="dxa"/>
            <w:right w:w="15" w:type="dxa"/>
          </w:tblCellMar>
        </w:tblPrEx>
        <w:trPr>
          <w:tblCellSpacing w:w="15" w:type="dxa"/>
        </w:trPr>
        <w:tc>
          <w:tcPr>
            <w:tcW w:w="0" w:type="auto"/>
            <w:vAlign w:val="center"/>
          </w:tcPr>
          <w:p w14:paraId="512C82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Montenegro</w:t>
            </w:r>
          </w:p>
        </w:tc>
        <w:tc>
          <w:tcPr>
            <w:tcW w:w="0" w:type="auto"/>
            <w:vAlign w:val="center"/>
          </w:tcPr>
          <w:p w14:paraId="338A0DE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 opened / 3 closed</w:t>
            </w:r>
          </w:p>
        </w:tc>
        <w:tc>
          <w:tcPr>
            <w:tcW w:w="0" w:type="auto"/>
            <w:vAlign w:val="center"/>
          </w:tcPr>
          <w:p w14:paraId="52431FF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Positive rule</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of</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law benchmark (June2024) enables new provisional closures</w:t>
            </w:r>
          </w:p>
        </w:tc>
      </w:tr>
      <w:tr w14:paraId="49B9FA41">
        <w:tblPrEx>
          <w:tblCellMar>
            <w:top w:w="15" w:type="dxa"/>
            <w:left w:w="15" w:type="dxa"/>
            <w:bottom w:w="15" w:type="dxa"/>
            <w:right w:w="15" w:type="dxa"/>
          </w:tblCellMar>
        </w:tblPrEx>
        <w:trPr>
          <w:tblCellSpacing w:w="15" w:type="dxa"/>
        </w:trPr>
        <w:tc>
          <w:tcPr>
            <w:tcW w:w="0" w:type="auto"/>
            <w:vAlign w:val="center"/>
          </w:tcPr>
          <w:p w14:paraId="08A4034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Serbia</w:t>
            </w:r>
          </w:p>
        </w:tc>
        <w:tc>
          <w:tcPr>
            <w:tcW w:w="0" w:type="auto"/>
            <w:vAlign w:val="center"/>
          </w:tcPr>
          <w:p w14:paraId="171F0D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 opened / 2 closed</w:t>
            </w:r>
          </w:p>
        </w:tc>
        <w:tc>
          <w:tcPr>
            <w:tcW w:w="0" w:type="auto"/>
            <w:vAlign w:val="center"/>
          </w:tcPr>
          <w:p w14:paraId="1D470C9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Progress stalled; further clusters contingent on Kosovo normalisation &amp; rule</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of</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law reforms</w:t>
            </w:r>
          </w:p>
        </w:tc>
      </w:tr>
      <w:tr w14:paraId="3117044E">
        <w:tblPrEx>
          <w:tblCellMar>
            <w:top w:w="15" w:type="dxa"/>
            <w:left w:w="15" w:type="dxa"/>
            <w:bottom w:w="15" w:type="dxa"/>
            <w:right w:w="15" w:type="dxa"/>
          </w:tblCellMar>
        </w:tblPrEx>
        <w:trPr>
          <w:tblCellSpacing w:w="15" w:type="dxa"/>
        </w:trPr>
        <w:tc>
          <w:tcPr>
            <w:tcW w:w="0" w:type="auto"/>
            <w:vAlign w:val="center"/>
          </w:tcPr>
          <w:p w14:paraId="7EC278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Albania</w:t>
            </w:r>
          </w:p>
        </w:tc>
        <w:tc>
          <w:tcPr>
            <w:tcW w:w="0" w:type="auto"/>
            <w:vAlign w:val="center"/>
          </w:tcPr>
          <w:p w14:paraId="05A19E4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Screening complete; Fundamentals Cluster opened (Oct 2024)</w:t>
            </w:r>
          </w:p>
        </w:tc>
        <w:tc>
          <w:tcPr>
            <w:tcW w:w="0" w:type="auto"/>
            <w:vAlign w:val="center"/>
          </w:tcPr>
          <w:p w14:paraId="2442C89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Awaiting first reform benchmarks under Growth Plan</w:t>
            </w:r>
          </w:p>
        </w:tc>
      </w:tr>
      <w:tr w14:paraId="70615C10">
        <w:tblPrEx>
          <w:tblCellMar>
            <w:top w:w="15" w:type="dxa"/>
            <w:left w:w="15" w:type="dxa"/>
            <w:bottom w:w="15" w:type="dxa"/>
            <w:right w:w="15" w:type="dxa"/>
          </w:tblCellMar>
        </w:tblPrEx>
        <w:trPr>
          <w:tblCellSpacing w:w="15" w:type="dxa"/>
        </w:trPr>
        <w:tc>
          <w:tcPr>
            <w:tcW w:w="0" w:type="auto"/>
            <w:vAlign w:val="center"/>
          </w:tcPr>
          <w:p w14:paraId="5B0CF2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North Macedonia</w:t>
            </w:r>
          </w:p>
        </w:tc>
        <w:tc>
          <w:tcPr>
            <w:tcW w:w="0" w:type="auto"/>
            <w:vAlign w:val="center"/>
          </w:tcPr>
          <w:p w14:paraId="1AD0A96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Screening complete</w:t>
            </w:r>
          </w:p>
        </w:tc>
        <w:tc>
          <w:tcPr>
            <w:tcW w:w="0" w:type="auto"/>
            <w:vAlign w:val="center"/>
          </w:tcPr>
          <w:p w14:paraId="52004B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Accession pace tied to resolution of identity dispute with Bulgaria</w:t>
            </w:r>
          </w:p>
        </w:tc>
      </w:tr>
      <w:tr w14:paraId="13080187">
        <w:tblPrEx>
          <w:tblCellMar>
            <w:top w:w="15" w:type="dxa"/>
            <w:left w:w="15" w:type="dxa"/>
            <w:bottom w:w="15" w:type="dxa"/>
            <w:right w:w="15" w:type="dxa"/>
          </w:tblCellMar>
        </w:tblPrEx>
        <w:trPr>
          <w:tblCellSpacing w:w="15" w:type="dxa"/>
        </w:trPr>
        <w:tc>
          <w:tcPr>
            <w:tcW w:w="0" w:type="auto"/>
            <w:vAlign w:val="center"/>
          </w:tcPr>
          <w:p w14:paraId="6215BB1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Bosnia and Herzegovina</w:t>
            </w:r>
          </w:p>
        </w:tc>
        <w:tc>
          <w:tcPr>
            <w:tcW w:w="0" w:type="auto"/>
            <w:vAlign w:val="center"/>
          </w:tcPr>
          <w:p w14:paraId="76B71C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Accession negotiations authorised (Mar2024)</w:t>
            </w:r>
          </w:p>
        </w:tc>
        <w:tc>
          <w:tcPr>
            <w:tcW w:w="0" w:type="auto"/>
            <w:vAlign w:val="center"/>
          </w:tcPr>
          <w:p w14:paraId="69D7B3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Entity</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level secessionist laws threaten compliance</w:t>
            </w:r>
          </w:p>
        </w:tc>
      </w:tr>
      <w:tr w14:paraId="09E1B16C">
        <w:tblPrEx>
          <w:tblCellMar>
            <w:top w:w="15" w:type="dxa"/>
            <w:left w:w="15" w:type="dxa"/>
            <w:bottom w:w="15" w:type="dxa"/>
            <w:right w:w="15" w:type="dxa"/>
          </w:tblCellMar>
        </w:tblPrEx>
        <w:trPr>
          <w:tblCellSpacing w:w="15" w:type="dxa"/>
        </w:trPr>
        <w:tc>
          <w:tcPr>
            <w:tcW w:w="0" w:type="auto"/>
            <w:vAlign w:val="center"/>
          </w:tcPr>
          <w:p w14:paraId="352F41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Kosovo</w:t>
            </w:r>
          </w:p>
        </w:tc>
        <w:tc>
          <w:tcPr>
            <w:tcW w:w="0" w:type="auto"/>
            <w:vAlign w:val="center"/>
          </w:tcPr>
          <w:p w14:paraId="70E730B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Visa</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free travel since Jan2024</w:t>
            </w:r>
          </w:p>
        </w:tc>
        <w:tc>
          <w:tcPr>
            <w:tcW w:w="0" w:type="auto"/>
            <w:vAlign w:val="center"/>
          </w:tcPr>
          <w:p w14:paraId="70445E4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SAA implementation and reform agenda aligned with Growth Plan</w:t>
            </w:r>
          </w:p>
        </w:tc>
      </w:tr>
    </w:tbl>
    <w:p w14:paraId="326037CE">
      <w:pPr>
        <w:spacing w:before="100" w:beforeAutospacing="1" w:after="100" w:afterAutospacing="1" w:line="240" w:lineRule="auto"/>
        <w:jc w:val="both"/>
        <w:outlineLvl w:val="1"/>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3 Key Challenges in Diversity Management &amp; Memory Politics</w:t>
      </w:r>
    </w:p>
    <w:p w14:paraId="30499CD3">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Memory Politics as Double</w:t>
      </w:r>
      <w:r>
        <w:rPr>
          <w:rFonts w:ascii="Times New Roman" w:hAnsi="Times New Roman" w:eastAsia="Times New Roman" w:cs="Times New Roman"/>
          <w:b/>
          <w:bCs/>
          <w:sz w:val="24"/>
          <w:szCs w:val="24"/>
        </w:rPr>
        <w:noBreakHyphen/>
      </w:r>
      <w:r>
        <w:rPr>
          <w:rFonts w:ascii="Times New Roman" w:hAnsi="Times New Roman" w:eastAsia="Times New Roman" w:cs="Times New Roman"/>
          <w:b/>
          <w:bCs/>
          <w:sz w:val="24"/>
          <w:szCs w:val="24"/>
        </w:rPr>
        <w:t>Edged Sword</w:t>
      </w:r>
      <w:r>
        <w:rPr>
          <w:rFonts w:ascii="Times New Roman" w:hAnsi="Times New Roman" w:eastAsia="Times New Roman" w:cs="Times New Roman"/>
          <w:sz w:val="24"/>
          <w:szCs w:val="24"/>
        </w:rPr>
        <w:t>: Selective memorialisation sustains polarisation.</w:t>
      </w:r>
    </w:p>
    <w:p w14:paraId="13120CF8">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Asymmetric Minority Protection</w:t>
      </w:r>
      <w:r>
        <w:rPr>
          <w:rFonts w:ascii="Times New Roman" w:hAnsi="Times New Roman" w:eastAsia="Times New Roman" w:cs="Times New Roman"/>
          <w:sz w:val="24"/>
          <w:szCs w:val="24"/>
        </w:rPr>
        <w:t>: exclusion persists despite legal commitments.</w:t>
      </w:r>
    </w:p>
    <w:p w14:paraId="3688300E">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Segregated Education</w:t>
      </w:r>
      <w:r>
        <w:rPr>
          <w:rFonts w:ascii="Times New Roman" w:hAnsi="Times New Roman" w:eastAsia="Times New Roman" w:cs="Times New Roman"/>
          <w:sz w:val="24"/>
          <w:szCs w:val="24"/>
        </w:rPr>
        <w:t>: Mono</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ethnic curricula entrench silos; FCNM multi- perceptivity largely unmet.</w:t>
      </w:r>
    </w:p>
    <w:p w14:paraId="21A85823">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Civil</w:t>
      </w:r>
      <w:r>
        <w:rPr>
          <w:rFonts w:ascii="Times New Roman" w:hAnsi="Times New Roman" w:eastAsia="Times New Roman" w:cs="Times New Roman"/>
          <w:b/>
          <w:bCs/>
          <w:sz w:val="24"/>
          <w:szCs w:val="24"/>
        </w:rPr>
        <w:noBreakHyphen/>
      </w:r>
      <w:r>
        <w:rPr>
          <w:rFonts w:ascii="Times New Roman" w:hAnsi="Times New Roman" w:eastAsia="Times New Roman" w:cs="Times New Roman"/>
          <w:b/>
          <w:bCs/>
          <w:sz w:val="24"/>
          <w:szCs w:val="24"/>
        </w:rPr>
        <w:t>Society Marginalisation</w:t>
      </w:r>
      <w:r>
        <w:rPr>
          <w:rFonts w:ascii="Times New Roman" w:hAnsi="Times New Roman" w:eastAsia="Times New Roman" w:cs="Times New Roman"/>
          <w:sz w:val="24"/>
          <w:szCs w:val="24"/>
        </w:rPr>
        <w:t>: Grassroots initiatives lack sustained funding and institutional access.</w:t>
      </w:r>
    </w:p>
    <w:p w14:paraId="524A0264">
      <w:pPr>
        <w:spacing w:before="100" w:beforeAutospacing="1" w:after="100" w:afterAutospacing="1" w:line="240" w:lineRule="auto"/>
        <w:jc w:val="both"/>
        <w:outlineLvl w:val="1"/>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4 Policy Analysis: Why It Matters for EU Accession</w:t>
      </w:r>
    </w:p>
    <w:p w14:paraId="7C4AA1B2">
      <w:pPr>
        <w:numPr>
          <w:ilvl w:val="0"/>
          <w:numId w:val="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Compliance with Chapters 23/24 requires demonstrable progress on minority rights, non</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discrimination, and transitional justice.</w:t>
      </w:r>
    </w:p>
    <w:p w14:paraId="562A3508">
      <w:pPr>
        <w:numPr>
          <w:ilvl w:val="0"/>
          <w:numId w:val="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Growth Plan disbursements are conditional on meeting reform milestones—including inclusive governance and human</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capital investment.</w:t>
      </w:r>
    </w:p>
    <w:p w14:paraId="2C41480D">
      <w:pPr>
        <w:numPr>
          <w:ilvl w:val="0"/>
          <w:numId w:val="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Failure to address politicised memory risks bilateral vetoes and enlargement fatigue across the EU</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27.</w:t>
      </w:r>
    </w:p>
    <w:p w14:paraId="5F75F3E3">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4B1A2B26">
      <w:pPr>
        <w:spacing w:before="100" w:beforeAutospacing="1" w:after="100" w:afterAutospacing="1" w:line="240" w:lineRule="auto"/>
        <w:jc w:val="both"/>
        <w:outlineLvl w:val="1"/>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5 Policy Recommendations (Seven</w:t>
      </w:r>
      <w:r>
        <w:rPr>
          <w:rFonts w:ascii="Times New Roman" w:hAnsi="Times New Roman" w:eastAsia="Times New Roman" w:cs="Times New Roman"/>
          <w:b/>
          <w:bCs/>
          <w:sz w:val="24"/>
          <w:szCs w:val="24"/>
          <w:u w:val="single"/>
        </w:rPr>
        <w:noBreakHyphen/>
      </w:r>
      <w:r>
        <w:rPr>
          <w:rFonts w:ascii="Times New Roman" w:hAnsi="Times New Roman" w:eastAsia="Times New Roman" w:cs="Times New Roman"/>
          <w:b/>
          <w:bCs/>
          <w:sz w:val="24"/>
          <w:szCs w:val="24"/>
          <w:u w:val="single"/>
        </w:rPr>
        <w:t>Pillar Strategy)</w:t>
      </w:r>
    </w:p>
    <w:p w14:paraId="45F628EC">
      <w:pPr>
        <w:numPr>
          <w:ilvl w:val="0"/>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Inclusive Historical Education</w:t>
      </w:r>
    </w:p>
    <w:p w14:paraId="0F8CB097">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Revise curricula (2025</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26) to embed multi- perceptivity and minority experiences; establish regional textbook review panels.</w:t>
      </w:r>
    </w:p>
    <w:p w14:paraId="235F55F1">
      <w:pPr>
        <w:numPr>
          <w:ilvl w:val="0"/>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Cultural &amp; Memorial Pluralism</w:t>
      </w:r>
    </w:p>
    <w:p w14:paraId="1B70C429">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Allocate 5 % of Growth Plan funds to minority heritage sites and multi</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ethnic commemorations; adopt diversity</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sensitive public</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symbol guidelines.</w:t>
      </w:r>
    </w:p>
    <w:p w14:paraId="502228EB">
      <w:pPr>
        <w:numPr>
          <w:ilvl w:val="0"/>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Institutional Implementation &amp; Funding</w:t>
      </w:r>
    </w:p>
    <w:p w14:paraId="498898E9">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Create national Minority Rights Implementation Units with ring</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fenced budgets and annual progress audits.</w:t>
      </w:r>
    </w:p>
    <w:p w14:paraId="185EFECF">
      <w:pPr>
        <w:numPr>
          <w:ilvl w:val="0"/>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Targeted Anti</w:t>
      </w:r>
      <w:r>
        <w:rPr>
          <w:rFonts w:ascii="Times New Roman" w:hAnsi="Times New Roman" w:eastAsia="Times New Roman" w:cs="Times New Roman"/>
          <w:b/>
          <w:bCs/>
          <w:sz w:val="24"/>
          <w:szCs w:val="24"/>
        </w:rPr>
        <w:noBreakHyphen/>
      </w:r>
      <w:r>
        <w:rPr>
          <w:rFonts w:ascii="Times New Roman" w:hAnsi="Times New Roman" w:eastAsia="Times New Roman" w:cs="Times New Roman"/>
          <w:b/>
          <w:bCs/>
          <w:sz w:val="24"/>
          <w:szCs w:val="24"/>
        </w:rPr>
        <w:t>Segregation Measures</w:t>
      </w:r>
    </w:p>
    <w:p w14:paraId="0F620EB7">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Introduce EU</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co</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financed socio</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economic inclusion programmes for marginalized  communities (housing, health, employment).</w:t>
      </w:r>
    </w:p>
    <w:p w14:paraId="3FDB28D8">
      <w:pPr>
        <w:numPr>
          <w:ilvl w:val="0"/>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Cross</w:t>
      </w:r>
      <w:r>
        <w:rPr>
          <w:rFonts w:ascii="Times New Roman" w:hAnsi="Times New Roman" w:eastAsia="Times New Roman" w:cs="Times New Roman"/>
          <w:b/>
          <w:bCs/>
          <w:sz w:val="24"/>
          <w:szCs w:val="24"/>
        </w:rPr>
        <w:noBreakHyphen/>
      </w:r>
      <w:r>
        <w:rPr>
          <w:rFonts w:ascii="Times New Roman" w:hAnsi="Times New Roman" w:eastAsia="Times New Roman" w:cs="Times New Roman"/>
          <w:b/>
          <w:bCs/>
          <w:sz w:val="24"/>
          <w:szCs w:val="24"/>
        </w:rPr>
        <w:t>Border Historical Commissions</w:t>
      </w:r>
    </w:p>
    <w:p w14:paraId="55BAC04F">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Launch bilateral truth</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seeking and joint scholarship initiatives by 2027, modelled on French</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German textbook cooperation.</w:t>
      </w:r>
    </w:p>
    <w:p w14:paraId="7870685E">
      <w:pPr>
        <w:numPr>
          <w:ilvl w:val="0"/>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Civil</w:t>
      </w:r>
      <w:r>
        <w:rPr>
          <w:rFonts w:ascii="Times New Roman" w:hAnsi="Times New Roman" w:eastAsia="Times New Roman" w:cs="Times New Roman"/>
          <w:b/>
          <w:bCs/>
          <w:sz w:val="24"/>
          <w:szCs w:val="24"/>
        </w:rPr>
        <w:noBreakHyphen/>
      </w:r>
      <w:r>
        <w:rPr>
          <w:rFonts w:ascii="Times New Roman" w:hAnsi="Times New Roman" w:eastAsia="Times New Roman" w:cs="Times New Roman"/>
          <w:b/>
          <w:bCs/>
          <w:sz w:val="24"/>
          <w:szCs w:val="24"/>
        </w:rPr>
        <w:t>Society Empowerment</w:t>
      </w:r>
    </w:p>
    <w:p w14:paraId="0B60DDE8">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Establish a €120 m Western Balkans Diversity Fund (2025</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30) to scale grassroots projects in arts, media, and youth exchange.</w:t>
      </w:r>
    </w:p>
    <w:p w14:paraId="1E2DB538">
      <w:pPr>
        <w:numPr>
          <w:ilvl w:val="0"/>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Memory</w:t>
      </w:r>
      <w:r>
        <w:rPr>
          <w:rFonts w:ascii="Times New Roman" w:hAnsi="Times New Roman" w:eastAsia="Times New Roman" w:cs="Times New Roman"/>
          <w:b/>
          <w:bCs/>
          <w:sz w:val="24"/>
          <w:szCs w:val="24"/>
        </w:rPr>
        <w:noBreakHyphen/>
      </w:r>
      <w:r>
        <w:rPr>
          <w:rFonts w:ascii="Times New Roman" w:hAnsi="Times New Roman" w:eastAsia="Times New Roman" w:cs="Times New Roman"/>
          <w:b/>
          <w:bCs/>
          <w:sz w:val="24"/>
          <w:szCs w:val="24"/>
        </w:rPr>
        <w:t>Justice Conditionality</w:t>
      </w:r>
    </w:p>
    <w:p w14:paraId="5A8DF810">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Integrate clear, time</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bound benchmarks on history</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related hate speech, memorial disputes, and minority consultations into EU progress reports.</w:t>
      </w:r>
    </w:p>
    <w:p w14:paraId="13726C09">
      <w:pPr>
        <w:spacing w:before="100" w:beforeAutospacing="1" w:after="100" w:afterAutospacing="1" w:line="24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 Implementation Roadmap (2025</w:t>
      </w:r>
      <w:r>
        <w:rPr>
          <w:rFonts w:ascii="Times New Roman" w:hAnsi="Times New Roman" w:eastAsia="Times New Roman" w:cs="Times New Roman"/>
          <w:b/>
          <w:bCs/>
          <w:sz w:val="24"/>
          <w:szCs w:val="24"/>
        </w:rPr>
        <w:noBreakHyphen/>
      </w:r>
      <w:r>
        <w:rPr>
          <w:rFonts w:ascii="Times New Roman" w:hAnsi="Times New Roman" w:eastAsia="Times New Roman" w:cs="Times New Roman"/>
          <w:b/>
          <w:bCs/>
          <w:sz w:val="24"/>
          <w:szCs w:val="24"/>
        </w:rPr>
        <w:t>2030)</w:t>
      </w:r>
    </w:p>
    <w:tbl>
      <w:tblPr>
        <w:tblStyle w:val="5"/>
        <w:tblW w:w="0" w:type="auto"/>
        <w:tblCellSpacing w:w="15" w:type="dxa"/>
        <w:tblInd w:w="0" w:type="dxa"/>
        <w:tblLayout w:type="autofit"/>
        <w:tblCellMar>
          <w:top w:w="15" w:type="dxa"/>
          <w:left w:w="15" w:type="dxa"/>
          <w:bottom w:w="15" w:type="dxa"/>
          <w:right w:w="15" w:type="dxa"/>
        </w:tblCellMar>
      </w:tblPr>
      <w:tblGrid>
        <w:gridCol w:w="2084"/>
        <w:gridCol w:w="927"/>
        <w:gridCol w:w="2392"/>
        <w:gridCol w:w="4047"/>
      </w:tblGrid>
      <w:tr w14:paraId="3DBED52A">
        <w:tblPrEx>
          <w:tblCellMar>
            <w:top w:w="15" w:type="dxa"/>
            <w:left w:w="15" w:type="dxa"/>
            <w:bottom w:w="15" w:type="dxa"/>
            <w:right w:w="15" w:type="dxa"/>
          </w:tblCellMar>
        </w:tblPrEx>
        <w:trPr>
          <w:tblCellSpacing w:w="15" w:type="dxa"/>
        </w:trPr>
        <w:tc>
          <w:tcPr>
            <w:tcW w:w="0" w:type="auto"/>
            <w:vAlign w:val="center"/>
          </w:tcPr>
          <w:p w14:paraId="27A7502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Phase</w:t>
            </w:r>
          </w:p>
        </w:tc>
        <w:tc>
          <w:tcPr>
            <w:tcW w:w="0" w:type="auto"/>
            <w:vAlign w:val="center"/>
          </w:tcPr>
          <w:p w14:paraId="58BB2C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Timeline</w:t>
            </w:r>
          </w:p>
        </w:tc>
        <w:tc>
          <w:tcPr>
            <w:tcW w:w="0" w:type="auto"/>
            <w:vAlign w:val="center"/>
          </w:tcPr>
          <w:p w14:paraId="1F9DA1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Lead Actors</w:t>
            </w:r>
          </w:p>
        </w:tc>
        <w:tc>
          <w:tcPr>
            <w:tcW w:w="0" w:type="auto"/>
            <w:vAlign w:val="center"/>
          </w:tcPr>
          <w:p w14:paraId="7D36E3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Deliverables</w:t>
            </w:r>
          </w:p>
        </w:tc>
      </w:tr>
      <w:tr w14:paraId="7FB503BD">
        <w:tblPrEx>
          <w:tblCellMar>
            <w:top w:w="15" w:type="dxa"/>
            <w:left w:w="15" w:type="dxa"/>
            <w:bottom w:w="15" w:type="dxa"/>
            <w:right w:w="15" w:type="dxa"/>
          </w:tblCellMar>
        </w:tblPrEx>
        <w:trPr>
          <w:tblCellSpacing w:w="15" w:type="dxa"/>
        </w:trPr>
        <w:tc>
          <w:tcPr>
            <w:tcW w:w="0" w:type="auto"/>
            <w:vAlign w:val="center"/>
          </w:tcPr>
          <w:p w14:paraId="5D0471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Phase I: Frameworks</w:t>
            </w:r>
          </w:p>
        </w:tc>
        <w:tc>
          <w:tcPr>
            <w:tcW w:w="0" w:type="auto"/>
            <w:vAlign w:val="center"/>
          </w:tcPr>
          <w:p w14:paraId="0E8B61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2025</w:t>
            </w:r>
          </w:p>
        </w:tc>
        <w:tc>
          <w:tcPr>
            <w:tcW w:w="0" w:type="auto"/>
            <w:vAlign w:val="center"/>
          </w:tcPr>
          <w:p w14:paraId="1438C93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National ministries, EU DG NEAR</w:t>
            </w:r>
          </w:p>
        </w:tc>
        <w:tc>
          <w:tcPr>
            <w:tcW w:w="0" w:type="auto"/>
            <w:vAlign w:val="center"/>
          </w:tcPr>
          <w:p w14:paraId="618D2A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Adoption of Reform Agendas; establishment of Minority Rights Units</w:t>
            </w:r>
          </w:p>
        </w:tc>
      </w:tr>
      <w:tr w14:paraId="1CD505FB">
        <w:tblPrEx>
          <w:tblCellMar>
            <w:top w:w="15" w:type="dxa"/>
            <w:left w:w="15" w:type="dxa"/>
            <w:bottom w:w="15" w:type="dxa"/>
            <w:right w:w="15" w:type="dxa"/>
          </w:tblCellMar>
        </w:tblPrEx>
        <w:trPr>
          <w:tblCellSpacing w:w="15" w:type="dxa"/>
        </w:trPr>
        <w:tc>
          <w:tcPr>
            <w:tcW w:w="0" w:type="auto"/>
            <w:vAlign w:val="center"/>
          </w:tcPr>
          <w:p w14:paraId="5E5D5F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Phase II: Pilot Projects</w:t>
            </w:r>
          </w:p>
        </w:tc>
        <w:tc>
          <w:tcPr>
            <w:tcW w:w="0" w:type="auto"/>
            <w:vAlign w:val="center"/>
          </w:tcPr>
          <w:p w14:paraId="3F2946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2026</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27</w:t>
            </w:r>
          </w:p>
        </w:tc>
        <w:tc>
          <w:tcPr>
            <w:tcW w:w="0" w:type="auto"/>
            <w:vAlign w:val="center"/>
          </w:tcPr>
          <w:p w14:paraId="2D8EE9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Municipalities, CSOs</w:t>
            </w:r>
          </w:p>
        </w:tc>
        <w:tc>
          <w:tcPr>
            <w:tcW w:w="0" w:type="auto"/>
            <w:vAlign w:val="center"/>
          </w:tcPr>
          <w:p w14:paraId="5E91DC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 intercultural school pilots; restoration of 20 minority heritage sites</w:t>
            </w:r>
          </w:p>
        </w:tc>
      </w:tr>
      <w:tr w14:paraId="5FEE9C0C">
        <w:tblPrEx>
          <w:tblCellMar>
            <w:top w:w="15" w:type="dxa"/>
            <w:left w:w="15" w:type="dxa"/>
            <w:bottom w:w="15" w:type="dxa"/>
            <w:right w:w="15" w:type="dxa"/>
          </w:tblCellMar>
        </w:tblPrEx>
        <w:trPr>
          <w:tblCellSpacing w:w="15" w:type="dxa"/>
        </w:trPr>
        <w:tc>
          <w:tcPr>
            <w:tcW w:w="0" w:type="auto"/>
            <w:vAlign w:val="center"/>
          </w:tcPr>
          <w:p w14:paraId="335323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Phase III: Regional Integration</w:t>
            </w:r>
          </w:p>
        </w:tc>
        <w:tc>
          <w:tcPr>
            <w:tcW w:w="0" w:type="auto"/>
            <w:vAlign w:val="center"/>
          </w:tcPr>
          <w:p w14:paraId="17789F7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2028</w:t>
            </w:r>
          </w:p>
        </w:tc>
        <w:tc>
          <w:tcPr>
            <w:tcW w:w="0" w:type="auto"/>
            <w:vAlign w:val="center"/>
          </w:tcPr>
          <w:p w14:paraId="098B056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CEFTA secretariat, historical commissions</w:t>
            </w:r>
          </w:p>
        </w:tc>
        <w:tc>
          <w:tcPr>
            <w:tcW w:w="0" w:type="auto"/>
            <w:vAlign w:val="center"/>
          </w:tcPr>
          <w:p w14:paraId="355A2F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Mutual recognition of minority diplomas; first joint history textbook chapter</w:t>
            </w:r>
          </w:p>
        </w:tc>
      </w:tr>
      <w:tr w14:paraId="38E12151">
        <w:tblPrEx>
          <w:tblCellMar>
            <w:top w:w="15" w:type="dxa"/>
            <w:left w:w="15" w:type="dxa"/>
            <w:bottom w:w="15" w:type="dxa"/>
            <w:right w:w="15" w:type="dxa"/>
          </w:tblCellMar>
        </w:tblPrEx>
        <w:trPr>
          <w:tblCellSpacing w:w="15" w:type="dxa"/>
        </w:trPr>
        <w:tc>
          <w:tcPr>
            <w:tcW w:w="0" w:type="auto"/>
            <w:vAlign w:val="center"/>
          </w:tcPr>
          <w:p w14:paraId="5FE574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Phase IV: Consolidation</w:t>
            </w:r>
          </w:p>
        </w:tc>
        <w:tc>
          <w:tcPr>
            <w:tcW w:w="0" w:type="auto"/>
            <w:vAlign w:val="center"/>
          </w:tcPr>
          <w:p w14:paraId="00B6A4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2029</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30</w:t>
            </w:r>
          </w:p>
        </w:tc>
        <w:tc>
          <w:tcPr>
            <w:tcW w:w="0" w:type="auto"/>
            <w:vAlign w:val="center"/>
          </w:tcPr>
          <w:p w14:paraId="79DE99B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Parliaments, EU Council</w:t>
            </w:r>
          </w:p>
        </w:tc>
        <w:tc>
          <w:tcPr>
            <w:tcW w:w="0" w:type="auto"/>
            <w:vAlign w:val="center"/>
          </w:tcPr>
          <w:p w14:paraId="6BBC7BA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Provisional closure of Chapters 23/24 for frontrunners; publication of Diversity &amp; Memory Index</w:t>
            </w:r>
          </w:p>
        </w:tc>
      </w:tr>
    </w:tbl>
    <w:p w14:paraId="2FC8044E">
      <w:pPr>
        <w:spacing w:before="100" w:beforeAutospacing="1" w:after="100" w:afterAutospacing="1" w:line="24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 Monitoring &amp; Evaluation</w:t>
      </w:r>
    </w:p>
    <w:p w14:paraId="275A030C">
      <w:pPr>
        <w:numPr>
          <w:ilvl w:val="0"/>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Diversity &amp; Memory Index (DMI)</w:t>
      </w:r>
      <w:r>
        <w:rPr>
          <w:rFonts w:ascii="Times New Roman" w:hAnsi="Times New Roman" w:eastAsia="Times New Roman" w:cs="Times New Roman"/>
          <w:sz w:val="24"/>
          <w:szCs w:val="24"/>
        </w:rPr>
        <w:t> — annual scoring on memory politicisation, minority inclusion, and interethnic trust, integrated into EU Country Reports.</w:t>
      </w:r>
    </w:p>
    <w:p w14:paraId="4333AD9D">
      <w:pPr>
        <w:numPr>
          <w:ilvl w:val="0"/>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Independent Advisory Panel</w:t>
      </w:r>
      <w:r>
        <w:rPr>
          <w:rFonts w:ascii="Times New Roman" w:hAnsi="Times New Roman" w:eastAsia="Times New Roman" w:cs="Times New Roman"/>
          <w:sz w:val="24"/>
          <w:szCs w:val="24"/>
        </w:rPr>
        <w:t xml:space="preserve"> comprising CoE experts, academia, and civil</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society representatives to validate progress data.</w:t>
      </w:r>
    </w:p>
    <w:p w14:paraId="30983A1A">
      <w:pPr>
        <w:numPr>
          <w:ilvl w:val="0"/>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Gender &amp; Youth Lens</w:t>
      </w:r>
      <w:r>
        <w:rPr>
          <w:rFonts w:ascii="Times New Roman" w:hAnsi="Times New Roman" w:eastAsia="Times New Roman" w:cs="Times New Roman"/>
          <w:sz w:val="24"/>
          <w:szCs w:val="24"/>
        </w:rPr>
        <w:t xml:space="preserve"> applied across all indicators.</w:t>
      </w:r>
    </w:p>
    <w:p w14:paraId="5AF9B7A8">
      <w:pPr>
        <w:spacing w:before="100" w:beforeAutospacing="1" w:after="100" w:afterAutospacing="1" w:line="24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 Conclusion</w:t>
      </w:r>
    </w:p>
    <w:p w14:paraId="39079B6C">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values</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based EU integration pathway for the Western Balkans hinges on confronting nationalist mythologies, investing in minority empowerment, and institutionalising inclusive memory cultures. By operationalising the seven</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pillar strategy within the EU’s 2023–27 Enlargement Agenda and the 2024 Growth Plan, regional governments and Brussels can convert symbolic commitments into measurable change, paving the way toward a resilient, pluralistic, and European future for the Western Balkans.</w:t>
      </w:r>
    </w:p>
    <w:p w14:paraId="73E24D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14:paraId="4BC734AE">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343CD240">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Contacts</w:t>
      </w:r>
    </w:p>
    <w:p w14:paraId="1C5AAF54">
      <w:pPr>
        <w:numPr>
          <w:ilvl w:val="0"/>
          <w:numId w:val="6"/>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Directorate</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General for Neighbourhood and Enlargement Negotiations (DG NEAR)</w:t>
      </w:r>
    </w:p>
    <w:p w14:paraId="5E04E754">
      <w:pPr>
        <w:numPr>
          <w:ilvl w:val="0"/>
          <w:numId w:val="6"/>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Council of Europe – Advisory Committee on the FCNM</w:t>
      </w:r>
    </w:p>
    <w:p w14:paraId="7D2B7C18">
      <w:pPr>
        <w:numPr>
          <w:ilvl w:val="0"/>
          <w:numId w:val="6"/>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Regional Cooperation Council (RCC)</w:t>
      </w:r>
    </w:p>
    <w:p w14:paraId="4D69389E">
      <w:pPr>
        <w:jc w:val="both"/>
        <w:rPr>
          <w:rFonts w:ascii="Times New Roman" w:hAnsi="Times New Roman" w:cs="Times New Roman"/>
          <w:sz w:val="24"/>
          <w:szCs w:val="24"/>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F3DD3"/>
    <w:multiLevelType w:val="multilevel"/>
    <w:tmpl w:val="05FF3D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29B54E7"/>
    <w:multiLevelType w:val="multilevel"/>
    <w:tmpl w:val="229B54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8AB6F6B"/>
    <w:multiLevelType w:val="multilevel"/>
    <w:tmpl w:val="28AB6F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E1005DA"/>
    <w:multiLevelType w:val="multilevel"/>
    <w:tmpl w:val="4E1005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A74510F"/>
    <w:multiLevelType w:val="multilevel"/>
    <w:tmpl w:val="5A74510F"/>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46846A9"/>
    <w:multiLevelType w:val="multilevel"/>
    <w:tmpl w:val="646846A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A7"/>
    <w:rsid w:val="002B6E0F"/>
    <w:rsid w:val="00614BB7"/>
    <w:rsid w:val="006460F3"/>
    <w:rsid w:val="007412A7"/>
    <w:rsid w:val="007D6BB8"/>
    <w:rsid w:val="008F4807"/>
    <w:rsid w:val="00C37E08"/>
    <w:rsid w:val="00F30D17"/>
    <w:rsid w:val="15C32BC5"/>
    <w:rsid w:val="39B137C2"/>
    <w:rsid w:val="3E0C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4"/>
    <w:qFormat/>
    <w:uiPriority w:val="22"/>
    <w:rPr>
      <w:b/>
      <w:bCs/>
    </w:rPr>
  </w:style>
  <w:style w:type="character" w:customStyle="1" w:styleId="8">
    <w:name w:val="Heading 1 Char"/>
    <w:basedOn w:val="4"/>
    <w:link w:val="2"/>
    <w:uiPriority w:val="9"/>
    <w:rPr>
      <w:rFonts w:ascii="Times New Roman" w:hAnsi="Times New Roman" w:eastAsia="Times New Roman" w:cs="Times New Roman"/>
      <w:b/>
      <w:bCs/>
      <w:kern w:val="36"/>
      <w:sz w:val="48"/>
      <w:szCs w:val="48"/>
    </w:rPr>
  </w:style>
  <w:style w:type="character" w:customStyle="1" w:styleId="9">
    <w:name w:val="Heading 2 Char"/>
    <w:basedOn w:val="4"/>
    <w:link w:val="3"/>
    <w:uiPriority w:val="9"/>
    <w:rPr>
      <w:rFonts w:ascii="Times New Roman" w:hAnsi="Times New Roman" w:eastAsia="Times New Roman" w:cs="Times New Roman"/>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966</Words>
  <Characters>5511</Characters>
  <Lines>45</Lines>
  <Paragraphs>12</Paragraphs>
  <TotalTime>8</TotalTime>
  <ScaleCrop>false</ScaleCrop>
  <LinksUpToDate>false</LinksUpToDate>
  <CharactersWithSpaces>6465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2025-08-13T09:28:00Z</dcterms:created>
  <dc:creator>Zemon</dc:creator>
  <cp:lastModifiedBy>ivank</cp:lastModifiedBy>
  <dcterms:modified xsi:type="dcterms:W3CDTF">2025-08-13T10:31:12Z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C0F8ED2D4DBD416FAC6061BA80BEEB43_13</vt:lpwstr>
  </property>
</Properties>
</file>